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8B" w:rsidRPr="0038478B" w:rsidRDefault="0038478B" w:rsidP="0038478B">
      <w:pPr>
        <w:ind w:left="360"/>
        <w:jc w:val="both"/>
        <w:rPr>
          <w:sz w:val="24"/>
          <w:szCs w:val="24"/>
        </w:rPr>
      </w:pPr>
      <w:r>
        <w:rPr>
          <w:b/>
          <w:sz w:val="24"/>
          <w:szCs w:val="24"/>
        </w:rPr>
        <w:t xml:space="preserve">Odpovědi </w:t>
      </w:r>
      <w:r w:rsidR="004928E9">
        <w:rPr>
          <w:b/>
          <w:sz w:val="24"/>
          <w:szCs w:val="24"/>
        </w:rPr>
        <w:t>MŠMT na</w:t>
      </w:r>
      <w:r>
        <w:rPr>
          <w:b/>
          <w:sz w:val="24"/>
          <w:szCs w:val="24"/>
        </w:rPr>
        <w:t xml:space="preserve"> d</w:t>
      </w:r>
      <w:r w:rsidRPr="0038478B">
        <w:rPr>
          <w:b/>
          <w:sz w:val="24"/>
          <w:szCs w:val="24"/>
        </w:rPr>
        <w:t>otaz</w:t>
      </w:r>
      <w:r w:rsidR="004928E9">
        <w:rPr>
          <w:b/>
          <w:sz w:val="24"/>
          <w:szCs w:val="24"/>
        </w:rPr>
        <w:t>y</w:t>
      </w:r>
      <w:r w:rsidRPr="0038478B">
        <w:rPr>
          <w:b/>
          <w:sz w:val="24"/>
          <w:szCs w:val="24"/>
        </w:rPr>
        <w:t xml:space="preserve"> k vyplňování výkazu R44-99 </w:t>
      </w:r>
      <w:r w:rsidRPr="0038478B">
        <w:rPr>
          <w:rStyle w:val="Siln"/>
          <w:bCs w:val="0"/>
          <w:sz w:val="24"/>
          <w:szCs w:val="24"/>
        </w:rPr>
        <w:t>o změnách v poskytovaných podpůrných opatřeních a jejich finanční náročnosti</w:t>
      </w:r>
      <w:r w:rsidR="004928E9">
        <w:rPr>
          <w:rStyle w:val="Siln"/>
          <w:bCs w:val="0"/>
          <w:sz w:val="24"/>
          <w:szCs w:val="24"/>
        </w:rPr>
        <w:t xml:space="preserve"> </w:t>
      </w:r>
    </w:p>
    <w:p w:rsidR="00B74566" w:rsidRDefault="00B74566" w:rsidP="0038478B">
      <w:pPr>
        <w:pStyle w:val="Odstavecseseznamem"/>
        <w:numPr>
          <w:ilvl w:val="0"/>
          <w:numId w:val="1"/>
        </w:numPr>
      </w:pPr>
      <w:r>
        <w:t>Co znamená okamžik „zahájení kroků“ k pořízení kompenzační pomůcky, rozhodný pro zápis požadavku na finanční prostředky do R44?</w:t>
      </w:r>
      <w:r>
        <w:br/>
        <w:t xml:space="preserve">Jde o termín provedení průzkumu trhu, termín uzavření poptávkového řízení nebo zcela prokazatelný termín vystavení objednávky na nákup? </w:t>
      </w:r>
    </w:p>
    <w:p w:rsidR="00B74566" w:rsidRPr="001A14BF" w:rsidRDefault="00B74566" w:rsidP="004928E9">
      <w:pPr>
        <w:spacing w:after="120"/>
        <w:ind w:left="357"/>
        <w:jc w:val="both"/>
        <w:rPr>
          <w:i/>
        </w:rPr>
      </w:pPr>
      <w:r w:rsidRPr="001A14BF">
        <w:rPr>
          <w:b/>
          <w:i/>
        </w:rPr>
        <w:t>Odpověď</w:t>
      </w:r>
      <w:r w:rsidRPr="001A14BF">
        <w:rPr>
          <w:i/>
        </w:rPr>
        <w:t xml:space="preserve">: </w:t>
      </w:r>
      <w:r w:rsidR="004928E9">
        <w:rPr>
          <w:i/>
        </w:rPr>
        <w:t>V</w:t>
      </w:r>
      <w:r w:rsidRPr="001A14BF">
        <w:rPr>
          <w:i/>
        </w:rPr>
        <w:t xml:space="preserve"> průběhu kalendářního roku toto není tak podstatné, jako v závěru roku, kdy musí být jasné, že škola stihne nákup uskutečnit. U malých věcí (např. kelímky) může škola nakoupit a pak dát do výkazu (opět pozor na konci roku). U větších nákupů vložit do výkazu R44-99 v okamžiku, kdy škola má zjištěno, že nákup bude moci bezprostředně realizovat – tj. má ukončené poptávkové řízení; má odeslanou objednávku apod. </w:t>
      </w:r>
    </w:p>
    <w:p w:rsidR="00B74566" w:rsidRDefault="00B74566" w:rsidP="00B74566">
      <w:pPr>
        <w:spacing w:after="120"/>
        <w:ind w:left="357"/>
      </w:pPr>
    </w:p>
    <w:p w:rsidR="00B74566" w:rsidRDefault="00B74566" w:rsidP="001A14BF">
      <w:pPr>
        <w:pStyle w:val="Odstavecseseznamem"/>
        <w:numPr>
          <w:ilvl w:val="0"/>
          <w:numId w:val="1"/>
        </w:numPr>
        <w:spacing w:line="257" w:lineRule="auto"/>
        <w:ind w:left="714" w:hanging="357"/>
        <w:jc w:val="both"/>
      </w:pPr>
      <w:r>
        <w:t>Dle zákona o pedagogických pracovnících č. 563/2004 Sb., §23a doba trvání pracovního poměru na dobu určitou pedagogického pracovníka mezi týmiž smluvními stranami činí nejméně 12 měsíců. Jak postupovat v případě AP, kterému byl pracovní poměr takto stanoven (tj. na 12 měsíců) a který byl přiřazen na základě přiznaného PO k dítěti, žákovi, jenž v průběhu školního roku školu opustí (např. přestup na jinou školu z důvodu přestěhování do jiného města, kraje)? Škola vyplní výkaz R 44 – 99</w:t>
      </w:r>
      <w:r w:rsidR="001A14BF">
        <w:t xml:space="preserve">, </w:t>
      </w:r>
      <w:r>
        <w:t>o ukončení poskytování PO, čímž ukončí financování AP z</w:t>
      </w:r>
      <w:r w:rsidR="001A14BF">
        <w:t> </w:t>
      </w:r>
      <w:r>
        <w:t>fin</w:t>
      </w:r>
      <w:r w:rsidR="001A14BF">
        <w:t xml:space="preserve">ančních </w:t>
      </w:r>
      <w:r>
        <w:t xml:space="preserve">prostředků na PO, ale protože pracovní smlouva AP nadále trvá, není zřejmé, z jakých finančních prostředků má škola tohoto zaměstnance hradit do doby, než mu pracovní poměr v souladu s uvedeným zákonem skončí. </w:t>
      </w:r>
    </w:p>
    <w:p w:rsidR="00B74566" w:rsidRDefault="00B74566" w:rsidP="001A14BF">
      <w:pPr>
        <w:spacing w:after="120" w:line="252" w:lineRule="auto"/>
        <w:ind w:left="357"/>
        <w:jc w:val="both"/>
        <w:rPr>
          <w:i/>
        </w:rPr>
      </w:pPr>
      <w:r w:rsidRPr="001A14BF">
        <w:rPr>
          <w:rFonts w:cs="Tahoma"/>
          <w:b/>
          <w:i/>
        </w:rPr>
        <w:t>Odpověď:</w:t>
      </w:r>
      <w:r w:rsidRPr="001A14BF">
        <w:rPr>
          <w:rFonts w:cs="Tahoma"/>
          <w:i/>
        </w:rPr>
        <w:t xml:space="preserve"> </w:t>
      </w:r>
      <w:r w:rsidRPr="001A14BF">
        <w:rPr>
          <w:i/>
        </w:rPr>
        <w:t xml:space="preserve">Filozofie stanovení (či úpravy) rozpočtu z titulu PO je taková, že škole náleží při splnění podmínek (že PO poskytuje, řádně jej vykázala) stanovená normovaná náročnost dle přílohy č. 1 vyhlášky č. 27/2016 Sb. Jde vlastně o jistý druh „příplatku“, který ale není nijak z hlediska tvorby rozpočtu účelový. Tj. v rozpočtu je bude škola vidět, jak vidí i jiné příplatky či jednotky výkonu, ale není přísně účelový. Když škola pořídí PO levněji, prostředky jí zůstávají v rozpočtu k využití (samozřejmě v rámci závazných ukazatelů – platy, OON, NIV celkem). Ukončení poskytování PO škola vykáže dle pokynů k výkazu R44-99 a případný zbytek nároků doplatí z rozpočtu přímých výdajů – pokud by ji tato situace dostala v rozpočtu do „mínusu“, obrátí se na KÚ s žádostí o dofinancování rozpočtu z rezervy. K této problematice byla diskuze na poradě paní ministryně se zástupci krajských úřadů dne 10. 1. 2017. Jeden ze závěrů z této porady je úkol pro sekci vzdělávání, a to na základě analýzy, kterou v současné době provádí, vydat k této problematice metodickou pomůcku do února 2017.  </w:t>
      </w:r>
    </w:p>
    <w:p w:rsidR="001A14BF" w:rsidRPr="001A14BF" w:rsidRDefault="001A14BF" w:rsidP="00B74566">
      <w:pPr>
        <w:spacing w:line="252" w:lineRule="auto"/>
        <w:ind w:left="360"/>
        <w:jc w:val="both"/>
        <w:rPr>
          <w:i/>
        </w:rPr>
      </w:pPr>
    </w:p>
    <w:p w:rsidR="00B74566" w:rsidRDefault="00B74566" w:rsidP="0038478B">
      <w:pPr>
        <w:pStyle w:val="Odstavecseseznamem"/>
        <w:numPr>
          <w:ilvl w:val="0"/>
          <w:numId w:val="1"/>
        </w:numPr>
        <w:jc w:val="both"/>
      </w:pPr>
      <w:r>
        <w:t>PO se přidělují na základě údajů vykázaných školou ve výkazech. Na základě čeho a jak se bude PO škole odebírat (žák ukončí školu, přejde na jinou apod.)?</w:t>
      </w:r>
      <w:r w:rsidR="00B712B1">
        <w:t xml:space="preserve"> B</w:t>
      </w:r>
      <w:r>
        <w:t>ude to pouze na základě agregace, kde škola uvede, že PO již nepožaduje? Ale v agregaci není datum, od kterého škola již PO nepožaduje. Je tam pouze informace, že ho nepožaduje….</w:t>
      </w:r>
      <w:r w:rsidR="00B712B1">
        <w:t xml:space="preserve"> J</w:t>
      </w:r>
      <w:r>
        <w:t>ak zjistíme to rozhodné datum?</w:t>
      </w:r>
    </w:p>
    <w:p w:rsidR="00B74566" w:rsidRPr="001A14BF" w:rsidRDefault="00B74566" w:rsidP="00B74566">
      <w:pPr>
        <w:ind w:left="360"/>
        <w:jc w:val="both"/>
        <w:rPr>
          <w:i/>
        </w:rPr>
      </w:pPr>
      <w:r w:rsidRPr="001A14BF">
        <w:rPr>
          <w:b/>
          <w:i/>
        </w:rPr>
        <w:t>Odpověď:</w:t>
      </w:r>
      <w:r w:rsidRPr="001A14BF">
        <w:rPr>
          <w:i/>
        </w:rPr>
        <w:t xml:space="preserve"> postupovat dle čl. IV odst. 5 směrnice čj. MSMT-24005/2016, - dle údajů ve výkaze R44-99 – obdobně, jako když se PO přiznávají, tak se budou „odebírat“. Týká se pouze PO personálního charakteru.</w:t>
      </w:r>
    </w:p>
    <w:p w:rsidR="00B74566" w:rsidRDefault="00B74566" w:rsidP="00B74566">
      <w:pPr>
        <w:ind w:left="360"/>
      </w:pPr>
    </w:p>
    <w:p w:rsidR="00B74566" w:rsidRDefault="00B74566" w:rsidP="0038478B">
      <w:pPr>
        <w:pStyle w:val="Odstavecseseznamem"/>
        <w:numPr>
          <w:ilvl w:val="0"/>
          <w:numId w:val="1"/>
        </w:numPr>
        <w:jc w:val="both"/>
      </w:pPr>
      <w:r>
        <w:lastRenderedPageBreak/>
        <w:t>Obdobný dotaz k předmětu speciálně pedagogické péče a ped</w:t>
      </w:r>
      <w:r w:rsidR="00B712B1">
        <w:t xml:space="preserve">agogické </w:t>
      </w:r>
      <w:r>
        <w:t>intervence – úvazky</w:t>
      </w:r>
      <w:r w:rsidR="00476597">
        <w:t>,</w:t>
      </w:r>
      <w:r>
        <w:t xml:space="preserve"> a pokud ano, jak je stanovit. Pokud škola požádá o převod do OON, co s přidělenými prostředky na FKSP? A pokud požádá o převod nižší částky, než která byla určena na platy, tak co se zbývajícími platy?</w:t>
      </w:r>
    </w:p>
    <w:p w:rsidR="00B74566" w:rsidRPr="00B712B1" w:rsidRDefault="00B74566" w:rsidP="00B74566">
      <w:pPr>
        <w:ind w:left="360"/>
        <w:jc w:val="both"/>
        <w:rPr>
          <w:i/>
        </w:rPr>
      </w:pPr>
      <w:r w:rsidRPr="00B712B1">
        <w:rPr>
          <w:b/>
          <w:i/>
        </w:rPr>
        <w:t>Odpověď:</w:t>
      </w:r>
      <w:r w:rsidRPr="00B712B1">
        <w:rPr>
          <w:i/>
        </w:rPr>
        <w:t xml:space="preserve"> Úvazky jsou stanoveny tam, kde je mzdový dopad. Přesun mezi závaznými ukazateli bude povolen – viz tzv. rozpisový dopis 2017. Filozofie stanovení (či úpravy) rozpočtu z titulu PO je taková, že škole náleží při splnění podmínek (že PO poskytuje, řádně jej vykázala) stanovená normovaná náročnost dle přílohy č. 1 vyhlášky č. 27/2016 Sb. Jde vlastně o jistý druh „příplatku“, který ale není nijak z hlediska tvorby rozpočtu účelový. Tj. v rozpočtu je bude škola vidět, jak vidí i jiné příplatky či jednotky výkonu, ale není přísně účelový. Tj. když škola pořídí PO levněji, prostředky jí zůstávají v rozpočtu k využití (samozřejmě v rámci závazných ukazatelů – platy, OON, NIV celkem). Když požádá o převod nižší částky, zbytek zůstane škole v rozpočtu. </w:t>
      </w:r>
    </w:p>
    <w:p w:rsidR="00B74566" w:rsidRDefault="00B74566" w:rsidP="00B74566">
      <w:pPr>
        <w:spacing w:after="120"/>
        <w:ind w:left="357"/>
      </w:pPr>
    </w:p>
    <w:p w:rsidR="00B74566" w:rsidRDefault="00B74566" w:rsidP="0038478B">
      <w:pPr>
        <w:pStyle w:val="Odstavecseseznamem"/>
        <w:numPr>
          <w:ilvl w:val="0"/>
          <w:numId w:val="1"/>
        </w:numPr>
        <w:jc w:val="both"/>
      </w:pPr>
      <w:r>
        <w:t>Družině byl přidělen asistent na úvazek 0,25. V této družině ale není ranní družina a tak skutečný úvazek bude jen 0,2. Má škola vracet finanční prostředky, když nemůže využít plně přidělený úvazek? A obdobný dotaz, kdy škola má přiznané PO na asistenta od ledna, ale ten nastoupí až v únoru. Musí finance za tu dobu, než asistent nastoupí vracet? A bude vracet za celý měsíc nebo za dny, kdy nepracuje?</w:t>
      </w:r>
    </w:p>
    <w:p w:rsidR="00B74566" w:rsidRPr="00476597" w:rsidRDefault="00B74566" w:rsidP="00B74566">
      <w:pPr>
        <w:ind w:left="360"/>
        <w:jc w:val="both"/>
        <w:rPr>
          <w:i/>
        </w:rPr>
      </w:pPr>
      <w:r w:rsidRPr="00476597">
        <w:rPr>
          <w:b/>
          <w:i/>
        </w:rPr>
        <w:t>Odpověď</w:t>
      </w:r>
      <w:r w:rsidRPr="00476597">
        <w:rPr>
          <w:i/>
        </w:rPr>
        <w:t>: Škola před poskytováním PO musí komunikovat se školským poradenským zařízením (ŠPZ), že je schopna poskytnout PO v daném rozsahu. Pokud tedy může poskytnout jen 0,2, tak si to má předem dohodnout.</w:t>
      </w:r>
      <w:r w:rsidR="00476597">
        <w:rPr>
          <w:i/>
        </w:rPr>
        <w:t xml:space="preserve"> </w:t>
      </w:r>
      <w:r w:rsidRPr="00476597">
        <w:rPr>
          <w:i/>
        </w:rPr>
        <w:t xml:space="preserve">Pokud škola přijme (začne fakticky poskytovat PO) od 1. února, vyplní výkaz R44-99 v měsíci lednu a peníze jí budou poskytnuty od února, nemusí tedy nic vracet. </w:t>
      </w:r>
    </w:p>
    <w:p w:rsidR="00B74566" w:rsidRDefault="00B74566" w:rsidP="0038478B">
      <w:pPr>
        <w:pStyle w:val="Odstavecseseznamem"/>
        <w:numPr>
          <w:ilvl w:val="0"/>
          <w:numId w:val="1"/>
        </w:numPr>
        <w:jc w:val="both"/>
      </w:pPr>
      <w:r>
        <w:t>Jakým způsobem musí školy finanční prostředky přidělené na PO sledovat? Pokud neutratí celou částku, na co ji mohou použít? Je to myšleno, že např. kompenzační pomůcka bude levnější než přidělená rozpočtem a u asistentů pedagoga normovaná měsíční částka převyšuje stanovený platový tarif.</w:t>
      </w:r>
    </w:p>
    <w:p w:rsidR="00B74566" w:rsidRPr="00476597" w:rsidRDefault="00B74566" w:rsidP="00B74566">
      <w:pPr>
        <w:ind w:left="360"/>
        <w:jc w:val="both"/>
        <w:rPr>
          <w:i/>
        </w:rPr>
      </w:pPr>
      <w:r w:rsidRPr="00476597">
        <w:rPr>
          <w:b/>
          <w:i/>
        </w:rPr>
        <w:t>Odpověď:</w:t>
      </w:r>
      <w:r w:rsidRPr="00476597">
        <w:rPr>
          <w:i/>
        </w:rPr>
        <w:t xml:space="preserve"> finanční prostředky nejsou účelovou úpravou rozpočtu, škola je má v rozpočtu jako např. peníze na 1. stupeň ZŠ, 2. stupeň ZŠ, příplatky na zdravotní postižení apod. Zvláštní evidence z titulu financování PO není nutná. Když finanční prostředky přidělení na PO uspoří, použije je v rámci ukazatelů na další potřeby dle školského zákona. Pokud má asistenta pedagoga zařazeného ve vyšší platové třídě, než na jaké je kalkulováno PO, pak doplatí ze svého rozpočtu přímých výdajů</w:t>
      </w:r>
    </w:p>
    <w:p w:rsidR="00B74566" w:rsidRDefault="00B74566" w:rsidP="00B74566">
      <w:pPr>
        <w:ind w:left="360"/>
        <w:jc w:val="both"/>
        <w:rPr>
          <w:color w:val="FF0000"/>
        </w:rPr>
      </w:pPr>
    </w:p>
    <w:p w:rsidR="00B74566" w:rsidRDefault="0038478B" w:rsidP="0038478B">
      <w:pPr>
        <w:pStyle w:val="Odstavecseseznamem"/>
        <w:numPr>
          <w:ilvl w:val="0"/>
          <w:numId w:val="1"/>
        </w:numPr>
        <w:jc w:val="both"/>
      </w:pPr>
      <w:r>
        <w:t xml:space="preserve">a) </w:t>
      </w:r>
      <w:r w:rsidR="00B74566" w:rsidRPr="00B74566">
        <w:t>Žák měl vyšet</w:t>
      </w:r>
      <w:r w:rsidR="00B74566">
        <w:t>ření v minulém školním roce, v říjnu byl na přešetření. Má stále stejné mentální postižení, nemá doporučeného asistenta ani speciální pomůcky. Vyplňuje se k tomuto žákovi výkaz R44-99?</w:t>
      </w:r>
    </w:p>
    <w:p w:rsidR="00B74566" w:rsidRPr="00476597" w:rsidRDefault="00B74566" w:rsidP="00B74566">
      <w:pPr>
        <w:ind w:left="360"/>
        <w:jc w:val="both"/>
        <w:rPr>
          <w:i/>
        </w:rPr>
      </w:pPr>
      <w:r w:rsidRPr="00476597">
        <w:rPr>
          <w:i/>
        </w:rPr>
        <w:t>Odpověď: Ne</w:t>
      </w:r>
    </w:p>
    <w:p w:rsidR="00790D1C" w:rsidRPr="0038478B" w:rsidRDefault="00F20C2A" w:rsidP="00F20C2A">
      <w:pPr>
        <w:ind w:left="360" w:firstLine="348"/>
        <w:jc w:val="both"/>
      </w:pPr>
      <w:r>
        <w:t>b) Ž</w:t>
      </w:r>
      <w:r w:rsidR="00B74566" w:rsidRPr="0038478B">
        <w:t>ák měl vyšetření v minulém školním roce, na podzim přešetřen</w:t>
      </w:r>
      <w:r w:rsidR="004928E9">
        <w:t>.</w:t>
      </w:r>
      <w:r w:rsidR="00B74566" w:rsidRPr="0038478B">
        <w:t xml:space="preserve"> Má stále stejné mentální postižení, nemá doporučeného asistenta, ale má doporučený nákup speciální pomůcky. </w:t>
      </w:r>
      <w:r w:rsidR="00D7413A" w:rsidRPr="0038478B">
        <w:t>Vyplňujeme oddíl I. i oddíl</w:t>
      </w:r>
      <w:r w:rsidR="00A70253" w:rsidRPr="0038478B">
        <w:t xml:space="preserve"> II. </w:t>
      </w:r>
      <w:r w:rsidR="00790D1C" w:rsidRPr="0038478B">
        <w:t>V</w:t>
      </w:r>
      <w:r w:rsidR="00A70253" w:rsidRPr="0038478B">
        <w:t>ýkazu</w:t>
      </w:r>
      <w:r w:rsidR="00790D1C" w:rsidRPr="0038478B">
        <w:t xml:space="preserve"> R44-99?</w:t>
      </w:r>
    </w:p>
    <w:p w:rsidR="00790D1C" w:rsidRPr="00476597" w:rsidRDefault="00790D1C" w:rsidP="00B74566">
      <w:pPr>
        <w:ind w:left="360"/>
        <w:jc w:val="both"/>
        <w:rPr>
          <w:i/>
        </w:rPr>
      </w:pPr>
      <w:r w:rsidRPr="00476597">
        <w:rPr>
          <w:i/>
        </w:rPr>
        <w:t>Oddíl I</w:t>
      </w:r>
      <w:r w:rsidR="00476597" w:rsidRPr="00476597">
        <w:rPr>
          <w:i/>
        </w:rPr>
        <w:t>:</w:t>
      </w:r>
      <w:r w:rsidRPr="00476597">
        <w:rPr>
          <w:i/>
        </w:rPr>
        <w:t xml:space="preserve"> ANO</w:t>
      </w:r>
    </w:p>
    <w:p w:rsidR="00790D1C" w:rsidRPr="00476597" w:rsidRDefault="00790D1C" w:rsidP="00B74566">
      <w:pPr>
        <w:ind w:left="360"/>
        <w:jc w:val="both"/>
        <w:rPr>
          <w:i/>
        </w:rPr>
      </w:pPr>
      <w:r w:rsidRPr="00476597">
        <w:rPr>
          <w:i/>
        </w:rPr>
        <w:t>Oddíl II</w:t>
      </w:r>
      <w:r w:rsidR="00476597" w:rsidRPr="00476597">
        <w:rPr>
          <w:i/>
        </w:rPr>
        <w:t>: U</w:t>
      </w:r>
      <w:r w:rsidRPr="00476597">
        <w:rPr>
          <w:i/>
        </w:rPr>
        <w:t xml:space="preserve">vádějí se pouze údaje o žácích, kteří byli uvedeni na některém z výkazů S1-01, S4c-01, M3, M8, M9, M10, Z2-01, Z19-01 ve školním roce 2016/2017 jako děti/žáci/studenti se zdravotním postižením vzdělávající se ve speciální třídě nebo v běžné třídě a vyžadující zvýšené finanční výdaje a poté vyli nově vyšetření ve školském poradenském zařízení a bylo jim vydané doporučení s přiznanými podpůrnými opatřeními se stanovenou normovanou finanční náročností. </w:t>
      </w:r>
    </w:p>
    <w:p w:rsidR="00790D1C" w:rsidRDefault="00F20C2A" w:rsidP="00F20C2A">
      <w:pPr>
        <w:pStyle w:val="Odstavecseseznamem"/>
        <w:numPr>
          <w:ilvl w:val="0"/>
          <w:numId w:val="2"/>
        </w:numPr>
        <w:jc w:val="both"/>
      </w:pPr>
      <w:r>
        <w:t>Ž</w:t>
      </w:r>
      <w:r w:rsidR="00790D1C">
        <w:t xml:space="preserve">ák měl vyšetření v minulém školním roce, v listopadu </w:t>
      </w:r>
      <w:proofErr w:type="spellStart"/>
      <w:r w:rsidR="00790D1C">
        <w:t>rediagnostikován</w:t>
      </w:r>
      <w:proofErr w:type="spellEnd"/>
      <w:r w:rsidR="00790D1C">
        <w:t>. Má stále mentální postižení, doporučeného asistenta, speciální a kompenzační pomůcky.    Vyplňujeme oddíl I. i oddíl II. Výkazu R44-99?</w:t>
      </w:r>
    </w:p>
    <w:p w:rsidR="00790D1C" w:rsidRPr="00476597" w:rsidRDefault="00790D1C" w:rsidP="00790D1C">
      <w:pPr>
        <w:ind w:left="360"/>
        <w:jc w:val="both"/>
        <w:rPr>
          <w:i/>
        </w:rPr>
      </w:pPr>
      <w:r w:rsidRPr="00476597">
        <w:rPr>
          <w:i/>
        </w:rPr>
        <w:t>Viz odpověď k</w:t>
      </w:r>
      <w:r w:rsidR="0095254D" w:rsidRPr="00476597">
        <w:rPr>
          <w:i/>
        </w:rPr>
        <w:t xml:space="preserve"> bodu </w:t>
      </w:r>
      <w:r w:rsidR="001A14BF" w:rsidRPr="00476597">
        <w:rPr>
          <w:i/>
        </w:rPr>
        <w:t>7b)</w:t>
      </w:r>
    </w:p>
    <w:p w:rsidR="0095254D" w:rsidRDefault="0095254D" w:rsidP="0038478B">
      <w:pPr>
        <w:pStyle w:val="Odstavecseseznamem"/>
        <w:numPr>
          <w:ilvl w:val="0"/>
          <w:numId w:val="1"/>
        </w:numPr>
        <w:jc w:val="both"/>
      </w:pPr>
      <w:r>
        <w:t>V případě, že bychom speciální pomůcku získali až v následujícím měsíci (oproti zajištění asistenta a pořízení kompenzační pomůcky), budeme oddíl II.</w:t>
      </w:r>
      <w:r w:rsidR="00603B07">
        <w:t xml:space="preserve"> </w:t>
      </w:r>
      <w:r>
        <w:t>výkaz</w:t>
      </w:r>
      <w:r w:rsidR="00603B07">
        <w:t>u</w:t>
      </w:r>
      <w:r>
        <w:t xml:space="preserve"> R44-99 opět vyplňovat?</w:t>
      </w:r>
    </w:p>
    <w:p w:rsidR="00B74566" w:rsidRPr="00476597" w:rsidRDefault="0095254D" w:rsidP="00B74566">
      <w:pPr>
        <w:ind w:left="360"/>
        <w:jc w:val="both"/>
        <w:rPr>
          <w:i/>
        </w:rPr>
      </w:pPr>
      <w:r w:rsidRPr="00476597">
        <w:rPr>
          <w:i/>
        </w:rPr>
        <w:t>Odpově</w:t>
      </w:r>
      <w:r w:rsidR="00603B07" w:rsidRPr="00476597">
        <w:rPr>
          <w:i/>
        </w:rPr>
        <w:t xml:space="preserve">ď: O každém </w:t>
      </w:r>
      <w:proofErr w:type="spellStart"/>
      <w:r w:rsidR="00603B07" w:rsidRPr="00476597">
        <w:rPr>
          <w:i/>
        </w:rPr>
        <w:t>rediagnostikovaném</w:t>
      </w:r>
      <w:proofErr w:type="spellEnd"/>
      <w:r w:rsidR="00603B07" w:rsidRPr="00476597">
        <w:rPr>
          <w:i/>
        </w:rPr>
        <w:t xml:space="preserve"> dítěti/žákovi/studentovi se vyplní požadované údaje v příslušném období ve sl. 2 až 6. pouze jednou</w:t>
      </w:r>
      <w:r w:rsidR="0038478B" w:rsidRPr="00476597">
        <w:rPr>
          <w:i/>
        </w:rPr>
        <w:t xml:space="preserve"> (při vykazování prvního podpůrného opatření). </w:t>
      </w:r>
      <w:r w:rsidR="00603B07" w:rsidRPr="00476597">
        <w:rPr>
          <w:i/>
        </w:rPr>
        <w:t xml:space="preserve"> </w:t>
      </w:r>
      <w:r w:rsidR="00D7413A" w:rsidRPr="00476597">
        <w:rPr>
          <w:i/>
        </w:rPr>
        <w:t xml:space="preserve"> </w:t>
      </w:r>
      <w:r w:rsidR="00B74566" w:rsidRPr="00476597">
        <w:rPr>
          <w:i/>
        </w:rPr>
        <w:t xml:space="preserve">   </w:t>
      </w:r>
    </w:p>
    <w:p w:rsidR="00B74566" w:rsidRPr="00002F0C" w:rsidRDefault="00B74566" w:rsidP="00B74566">
      <w:pPr>
        <w:ind w:left="360"/>
        <w:jc w:val="both"/>
        <w:rPr>
          <w:color w:val="FF0000"/>
        </w:rPr>
      </w:pPr>
    </w:p>
    <w:p w:rsidR="00085E3A" w:rsidRPr="00085E3A" w:rsidRDefault="00085E3A" w:rsidP="00085E3A">
      <w:pPr>
        <w:ind w:left="360"/>
        <w:jc w:val="both"/>
        <w:rPr>
          <w:rFonts w:ascii="Calibri" w:eastAsia="Calibri" w:hAnsi="Calibri" w:cs="Times New Roman"/>
        </w:rPr>
      </w:pPr>
      <w:bookmarkStart w:id="0" w:name="_GoBack"/>
      <w:bookmarkEnd w:id="0"/>
      <w:r w:rsidRPr="00085E3A">
        <w:rPr>
          <w:rFonts w:ascii="Calibri" w:eastAsia="Calibri" w:hAnsi="Calibri" w:cs="Times New Roman"/>
        </w:rPr>
        <w:t>Zpracoval</w:t>
      </w:r>
      <w:r>
        <w:rPr>
          <w:rFonts w:ascii="Calibri" w:eastAsia="Calibri" w:hAnsi="Calibri" w:cs="Times New Roman"/>
        </w:rPr>
        <w:t xml:space="preserve">y: </w:t>
      </w:r>
      <w:r w:rsidRPr="00085E3A">
        <w:rPr>
          <w:rFonts w:ascii="Calibri" w:eastAsia="Calibri" w:hAnsi="Calibri" w:cs="Times New Roman"/>
        </w:rPr>
        <w:t xml:space="preserve">Ing. Hana </w:t>
      </w:r>
      <w:proofErr w:type="spellStart"/>
      <w:r w:rsidRPr="00085E3A">
        <w:rPr>
          <w:rFonts w:ascii="Calibri" w:eastAsia="Calibri" w:hAnsi="Calibri" w:cs="Times New Roman"/>
        </w:rPr>
        <w:t>Pluskalová</w:t>
      </w:r>
      <w:proofErr w:type="spellEnd"/>
      <w:r>
        <w:rPr>
          <w:rFonts w:ascii="Calibri" w:eastAsia="Calibri" w:hAnsi="Calibri" w:cs="Times New Roman"/>
        </w:rPr>
        <w:t>, Ing. Alena Tůmová, MŠMT</w:t>
      </w:r>
    </w:p>
    <w:p w:rsidR="004A0BA7" w:rsidRDefault="004A0BA7"/>
    <w:sectPr w:rsidR="004A0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8319B"/>
    <w:multiLevelType w:val="hybridMultilevel"/>
    <w:tmpl w:val="A64413E2"/>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BA3471"/>
    <w:multiLevelType w:val="hybridMultilevel"/>
    <w:tmpl w:val="31B0A3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D0"/>
    <w:rsid w:val="00002F0C"/>
    <w:rsid w:val="00085E3A"/>
    <w:rsid w:val="001A14BF"/>
    <w:rsid w:val="0038478B"/>
    <w:rsid w:val="00476597"/>
    <w:rsid w:val="004928E9"/>
    <w:rsid w:val="004A0BA7"/>
    <w:rsid w:val="00603B07"/>
    <w:rsid w:val="00610D00"/>
    <w:rsid w:val="00790D1C"/>
    <w:rsid w:val="0095254D"/>
    <w:rsid w:val="00A70253"/>
    <w:rsid w:val="00B712B1"/>
    <w:rsid w:val="00B74566"/>
    <w:rsid w:val="00BE1ED0"/>
    <w:rsid w:val="00D7413A"/>
    <w:rsid w:val="00F20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4CEAE-9C6A-4EF0-BFC2-8210D48C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4566"/>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38478B"/>
    <w:rPr>
      <w:b/>
      <w:bCs/>
    </w:rPr>
  </w:style>
  <w:style w:type="paragraph" w:styleId="Odstavecseseznamem">
    <w:name w:val="List Paragraph"/>
    <w:basedOn w:val="Normln"/>
    <w:uiPriority w:val="34"/>
    <w:qFormat/>
    <w:rsid w:val="00384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73578">
      <w:bodyDiv w:val="1"/>
      <w:marLeft w:val="0"/>
      <w:marRight w:val="0"/>
      <w:marTop w:val="0"/>
      <w:marBottom w:val="0"/>
      <w:divBdr>
        <w:top w:val="none" w:sz="0" w:space="0" w:color="auto"/>
        <w:left w:val="none" w:sz="0" w:space="0" w:color="auto"/>
        <w:bottom w:val="none" w:sz="0" w:space="0" w:color="auto"/>
        <w:right w:val="none" w:sz="0" w:space="0" w:color="auto"/>
      </w:divBdr>
    </w:div>
    <w:div w:id="413940001">
      <w:bodyDiv w:val="1"/>
      <w:marLeft w:val="0"/>
      <w:marRight w:val="0"/>
      <w:marTop w:val="0"/>
      <w:marBottom w:val="0"/>
      <w:divBdr>
        <w:top w:val="none" w:sz="0" w:space="0" w:color="auto"/>
        <w:left w:val="none" w:sz="0" w:space="0" w:color="auto"/>
        <w:bottom w:val="none" w:sz="0" w:space="0" w:color="auto"/>
        <w:right w:val="none" w:sz="0" w:space="0" w:color="auto"/>
      </w:divBdr>
    </w:div>
    <w:div w:id="455758619">
      <w:bodyDiv w:val="1"/>
      <w:marLeft w:val="0"/>
      <w:marRight w:val="0"/>
      <w:marTop w:val="0"/>
      <w:marBottom w:val="0"/>
      <w:divBdr>
        <w:top w:val="none" w:sz="0" w:space="0" w:color="auto"/>
        <w:left w:val="none" w:sz="0" w:space="0" w:color="auto"/>
        <w:bottom w:val="none" w:sz="0" w:space="0" w:color="auto"/>
        <w:right w:val="none" w:sz="0" w:space="0" w:color="auto"/>
      </w:divBdr>
    </w:div>
    <w:div w:id="1186363258">
      <w:bodyDiv w:val="1"/>
      <w:marLeft w:val="0"/>
      <w:marRight w:val="0"/>
      <w:marTop w:val="0"/>
      <w:marBottom w:val="0"/>
      <w:divBdr>
        <w:top w:val="none" w:sz="0" w:space="0" w:color="auto"/>
        <w:left w:val="none" w:sz="0" w:space="0" w:color="auto"/>
        <w:bottom w:val="none" w:sz="0" w:space="0" w:color="auto"/>
        <w:right w:val="none" w:sz="0" w:space="0" w:color="auto"/>
      </w:divBdr>
    </w:div>
    <w:div w:id="1267733504">
      <w:bodyDiv w:val="1"/>
      <w:marLeft w:val="0"/>
      <w:marRight w:val="0"/>
      <w:marTop w:val="0"/>
      <w:marBottom w:val="0"/>
      <w:divBdr>
        <w:top w:val="none" w:sz="0" w:space="0" w:color="auto"/>
        <w:left w:val="none" w:sz="0" w:space="0" w:color="auto"/>
        <w:bottom w:val="none" w:sz="0" w:space="0" w:color="auto"/>
        <w:right w:val="none" w:sz="0" w:space="0" w:color="auto"/>
      </w:divBdr>
    </w:div>
    <w:div w:id="1356689373">
      <w:bodyDiv w:val="1"/>
      <w:marLeft w:val="0"/>
      <w:marRight w:val="0"/>
      <w:marTop w:val="0"/>
      <w:marBottom w:val="0"/>
      <w:divBdr>
        <w:top w:val="none" w:sz="0" w:space="0" w:color="auto"/>
        <w:left w:val="none" w:sz="0" w:space="0" w:color="auto"/>
        <w:bottom w:val="none" w:sz="0" w:space="0" w:color="auto"/>
        <w:right w:val="none" w:sz="0" w:space="0" w:color="auto"/>
      </w:divBdr>
    </w:div>
    <w:div w:id="1779369694">
      <w:bodyDiv w:val="1"/>
      <w:marLeft w:val="0"/>
      <w:marRight w:val="0"/>
      <w:marTop w:val="0"/>
      <w:marBottom w:val="0"/>
      <w:divBdr>
        <w:top w:val="none" w:sz="0" w:space="0" w:color="auto"/>
        <w:left w:val="none" w:sz="0" w:space="0" w:color="auto"/>
        <w:bottom w:val="none" w:sz="0" w:space="0" w:color="auto"/>
        <w:right w:val="none" w:sz="0" w:space="0" w:color="auto"/>
      </w:divBdr>
    </w:div>
    <w:div w:id="18221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1075</Words>
  <Characters>6344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Pardubický kraj</Company>
  <LinksUpToDate>false</LinksUpToDate>
  <CharactersWithSpaces>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Tlapáková Irena Bc.</dc:creator>
  <cp:keywords/>
  <dc:description/>
  <cp:lastModifiedBy>Tlapáková Irena Bc.</cp:lastModifiedBy>
  <cp:revision>10</cp:revision>
  <dcterms:created xsi:type="dcterms:W3CDTF">2017-01-25T11:44:00Z</dcterms:created>
  <dcterms:modified xsi:type="dcterms:W3CDTF">2017-01-25T13:36:00Z</dcterms:modified>
</cp:coreProperties>
</file>