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6D" w:rsidRPr="003163C2" w:rsidRDefault="00A41A6D" w:rsidP="00A41A6D">
      <w:r w:rsidRPr="003163C2">
        <w:rPr>
          <w:b/>
          <w:bCs/>
        </w:rPr>
        <w:t xml:space="preserve">Správní řízení – založení spisu a vytvoření spisu spojováním dokumentů – 1 </w:t>
      </w:r>
      <w:r w:rsidRPr="003163C2">
        <w:rPr>
          <w:b/>
          <w:bCs/>
        </w:rPr>
        <w:br/>
      </w:r>
      <w:r w:rsidRPr="003163C2">
        <w:t xml:space="preserve">(rubrika PhDr. Mgr. Moniky Puškinové, Ph.D.) </w:t>
      </w:r>
    </w:p>
    <w:p w:rsidR="00A41A6D" w:rsidRPr="003163C2" w:rsidRDefault="00A41A6D" w:rsidP="00A41A6D">
      <w:r w:rsidRPr="003163C2">
        <w:t xml:space="preserve">V době, ve které ve školách nebo školských zařízeních probíhá správní řízení, je účelné připomenout hlavní pravidla, která upravují tvorbu spisu. </w:t>
      </w:r>
    </w:p>
    <w:p w:rsidR="00A41A6D" w:rsidRPr="003163C2" w:rsidRDefault="00A41A6D" w:rsidP="00A41A6D">
      <w:r w:rsidRPr="003163C2">
        <w:rPr>
          <w:bCs/>
          <w:u w:val="single"/>
        </w:rPr>
        <w:t>Založení spisu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8"/>
        <w:gridCol w:w="4948"/>
      </w:tblGrid>
      <w:tr w:rsidR="00A41A6D" w:rsidRPr="003163C2" w:rsidTr="00A41A6D">
        <w:tblPrEx>
          <w:tblCellMar>
            <w:top w:w="0" w:type="dxa"/>
            <w:bottom w:w="0" w:type="dxa"/>
          </w:tblCellMar>
        </w:tblPrEx>
        <w:trPr>
          <w:trHeight w:val="398"/>
        </w:trPr>
        <w:tc>
          <w:tcPr>
            <w:tcW w:w="4948" w:type="dxa"/>
          </w:tcPr>
          <w:p w:rsidR="00A41A6D" w:rsidRPr="003163C2" w:rsidRDefault="00A41A6D" w:rsidP="00A41A6D">
            <w:r w:rsidRPr="003163C2">
              <w:rPr>
                <w:b/>
                <w:bCs/>
              </w:rPr>
              <w:t xml:space="preserve">Pravidla právního předpisu </w:t>
            </w:r>
          </w:p>
        </w:tc>
        <w:tc>
          <w:tcPr>
            <w:tcW w:w="4948" w:type="dxa"/>
          </w:tcPr>
          <w:p w:rsidR="00A41A6D" w:rsidRPr="003163C2" w:rsidRDefault="00A41A6D" w:rsidP="00A41A6D">
            <w:r w:rsidRPr="003163C2">
              <w:rPr>
                <w:b/>
                <w:bCs/>
              </w:rPr>
              <w:t xml:space="preserve">Poznámky </w:t>
            </w:r>
          </w:p>
        </w:tc>
      </w:tr>
      <w:tr w:rsidR="00A41A6D" w:rsidRPr="003163C2" w:rsidTr="00A41A6D">
        <w:tblPrEx>
          <w:tblCellMar>
            <w:top w:w="0" w:type="dxa"/>
            <w:bottom w:w="0" w:type="dxa"/>
          </w:tblCellMar>
        </w:tblPrEx>
        <w:trPr>
          <w:trHeight w:val="1557"/>
        </w:trPr>
        <w:tc>
          <w:tcPr>
            <w:tcW w:w="4948" w:type="dxa"/>
          </w:tcPr>
          <w:p w:rsidR="00A41A6D" w:rsidRPr="003163C2" w:rsidRDefault="00A41A6D" w:rsidP="00A41A6D">
            <w:r w:rsidRPr="003163C2">
              <w:rPr>
                <w:b/>
                <w:bCs/>
              </w:rPr>
              <w:t xml:space="preserve">V každé věci se zakládá spis </w:t>
            </w:r>
          </w:p>
          <w:p w:rsidR="00A41A6D" w:rsidRPr="003163C2" w:rsidRDefault="00A41A6D" w:rsidP="00A41A6D">
            <w:r w:rsidRPr="003163C2">
              <w:rPr>
                <w:b/>
                <w:bCs/>
              </w:rPr>
              <w:t xml:space="preserve">(§ 17 odst. 1 zákona č. 500/2004 Sb., správní řád, </w:t>
            </w:r>
            <w:r w:rsidRPr="003163C2">
              <w:rPr>
                <w:b/>
                <w:bCs/>
              </w:rPr>
              <w:br/>
              <w:t xml:space="preserve">v platném znění). </w:t>
            </w:r>
          </w:p>
        </w:tc>
        <w:tc>
          <w:tcPr>
            <w:tcW w:w="4948" w:type="dxa"/>
          </w:tcPr>
          <w:p w:rsidR="00A41A6D" w:rsidRPr="003163C2" w:rsidRDefault="00A41A6D" w:rsidP="00A41A6D">
            <w:r w:rsidRPr="003163C2">
              <w:t xml:space="preserve">Správní orgán (právnická osoba vykonávající činnost školy nebo školského zařízení svým ředitelem) spis zakládá povinně. </w:t>
            </w:r>
          </w:p>
          <w:p w:rsidR="00A41A6D" w:rsidRPr="003163C2" w:rsidRDefault="00A41A6D" w:rsidP="00A41A6D">
            <w:r w:rsidRPr="003163C2">
              <w:rPr>
                <w:b/>
              </w:rPr>
              <w:t>Zvláštní spis se zakládá a dále vede v každé jednotlivé věci</w:t>
            </w:r>
            <w:r w:rsidRPr="003163C2">
              <w:t xml:space="preserve">. Jestliže např. uchazeč (prostřednictvím svého zákonného zástupce) podal dne 3. 3. 2016 žádost o přijetí k předškolnímu vzdělávání od 1. 9. 2016, vytvoří se a dále vede spis o této konkrétní věci. Pokud daný uchazeč nebyl přijat k předškolnímu vzdělávání od 1. 9. 2016 </w:t>
            </w:r>
            <w:r w:rsidR="005222B5">
              <w:br/>
            </w:r>
            <w:bookmarkStart w:id="0" w:name="_GoBack"/>
            <w:bookmarkEnd w:id="0"/>
            <w:r w:rsidRPr="003163C2">
              <w:t xml:space="preserve">a následně podal žádost o přijetí k předškolnímu vzdělávání od 1. 11. 2016, jedná se o nové řízení („novou věc“) a je nutné vytvořit nový speciální spis, ve kterém bude zaznamenán průběh a výsledek nového správního řízení. </w:t>
            </w:r>
          </w:p>
        </w:tc>
      </w:tr>
    </w:tbl>
    <w:p w:rsidR="00A41A6D" w:rsidRPr="003163C2" w:rsidRDefault="005222B5">
      <w:pPr>
        <w:rPr>
          <w:u w:val="single"/>
        </w:rPr>
      </w:pPr>
      <w:r>
        <w:rPr>
          <w:u w:val="single"/>
        </w:rPr>
        <w:br/>
      </w:r>
      <w:r w:rsidR="00A41A6D" w:rsidRPr="003163C2">
        <w:rPr>
          <w:u w:val="single"/>
        </w:rPr>
        <w:t>Co tvoří spis</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4970"/>
      </w:tblGrid>
      <w:tr w:rsidR="00A41A6D" w:rsidRPr="00A41A6D" w:rsidTr="00A41A6D">
        <w:tblPrEx>
          <w:tblCellMar>
            <w:top w:w="0" w:type="dxa"/>
            <w:bottom w:w="0" w:type="dxa"/>
          </w:tblCellMar>
        </w:tblPrEx>
        <w:trPr>
          <w:trHeight w:val="120"/>
        </w:trPr>
        <w:tc>
          <w:tcPr>
            <w:tcW w:w="4970"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Pravidla právního předpisu </w:t>
            </w:r>
          </w:p>
        </w:tc>
        <w:tc>
          <w:tcPr>
            <w:tcW w:w="4970"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Poznámky </w:t>
            </w:r>
          </w:p>
        </w:tc>
      </w:tr>
      <w:tr w:rsidR="00A41A6D" w:rsidRPr="00A41A6D" w:rsidTr="00A41A6D">
        <w:tblPrEx>
          <w:tblCellMar>
            <w:top w:w="0" w:type="dxa"/>
            <w:bottom w:w="0" w:type="dxa"/>
          </w:tblCellMar>
        </w:tblPrEx>
        <w:trPr>
          <w:trHeight w:val="1705"/>
        </w:trPr>
        <w:tc>
          <w:tcPr>
            <w:tcW w:w="4970"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Spis tvoří zejména podání, pr</w:t>
            </w:r>
            <w:r w:rsidRPr="003163C2">
              <w:rPr>
                <w:rFonts w:cs="Calibri"/>
                <w:b/>
                <w:bCs/>
                <w:color w:val="000000"/>
              </w:rPr>
              <w:t>otokoly, záznamy, písemná vyhotovení rozhodnutí a další písem</w:t>
            </w:r>
            <w:r w:rsidRPr="00A41A6D">
              <w:rPr>
                <w:rFonts w:cs="Calibri"/>
                <w:b/>
                <w:bCs/>
                <w:color w:val="000000"/>
              </w:rPr>
              <w:t>nosti, které se vztahují k dané věci. Přílohou, která je součástí spisu,</w:t>
            </w:r>
            <w:r w:rsidRPr="003163C2">
              <w:rPr>
                <w:rFonts w:cs="Calibri"/>
                <w:b/>
                <w:bCs/>
                <w:color w:val="000000"/>
              </w:rPr>
              <w:t xml:space="preserve"> jsou zejména důkazní pro</w:t>
            </w:r>
            <w:r w:rsidRPr="00A41A6D">
              <w:rPr>
                <w:rFonts w:cs="Calibri"/>
                <w:b/>
                <w:bCs/>
                <w:color w:val="000000"/>
              </w:rPr>
              <w:t>středky, obrazové a zvuko</w:t>
            </w:r>
            <w:r w:rsidRPr="003163C2">
              <w:rPr>
                <w:rFonts w:cs="Calibri"/>
                <w:b/>
                <w:bCs/>
                <w:color w:val="000000"/>
              </w:rPr>
              <w:t>vé záznamy a záznamy na elektro</w:t>
            </w:r>
            <w:r w:rsidRPr="00A41A6D">
              <w:rPr>
                <w:rFonts w:cs="Calibri"/>
                <w:b/>
                <w:bCs/>
                <w:color w:val="000000"/>
              </w:rPr>
              <w:t xml:space="preserve">nických médiích </w:t>
            </w:r>
          </w:p>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 17 odst. 1 správního řádu). </w:t>
            </w:r>
          </w:p>
        </w:tc>
        <w:tc>
          <w:tcPr>
            <w:tcW w:w="4970"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Spisem se rozumí soubor dokumentů týkající se téže věci. To znamená, že se skládá z určitéh</w:t>
            </w:r>
            <w:r w:rsidRPr="003163C2">
              <w:rPr>
                <w:rFonts w:cs="Calibri"/>
                <w:color w:val="000000"/>
              </w:rPr>
              <w:t>o množství dokumentů, které spo</w:t>
            </w:r>
            <w:r w:rsidRPr="00A41A6D">
              <w:rPr>
                <w:rFonts w:cs="Calibri"/>
                <w:color w:val="000000"/>
              </w:rPr>
              <w:t xml:space="preserve">lu vzájemně souvisejí. </w:t>
            </w:r>
          </w:p>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 xml:space="preserve">Spis musí obsahovat všechny podklady, které byly </w:t>
            </w:r>
            <w:r w:rsidR="003163C2">
              <w:rPr>
                <w:rFonts w:cs="Calibri"/>
                <w:color w:val="000000"/>
              </w:rPr>
              <w:br/>
            </w:r>
            <w:r w:rsidRPr="00A41A6D">
              <w:rPr>
                <w:rFonts w:cs="Calibri"/>
                <w:color w:val="000000"/>
              </w:rPr>
              <w:t>v řízení použity</w:t>
            </w:r>
            <w:r w:rsidRPr="00A41A6D">
              <w:rPr>
                <w:rFonts w:cs="Calibri"/>
                <w:b/>
                <w:color w:val="000000"/>
              </w:rPr>
              <w:t>. V praxi škol a školských zařízení spis tvoří zejména:</w:t>
            </w:r>
            <w:r w:rsidRPr="00A41A6D">
              <w:rPr>
                <w:rFonts w:cs="Calibri"/>
                <w:color w:val="000000"/>
              </w:rPr>
              <w:t xml:space="preserve"> žádost (při-hláška) o přijetí, žádost </w:t>
            </w:r>
            <w:r w:rsidR="003163C2">
              <w:rPr>
                <w:rFonts w:cs="Calibri"/>
                <w:color w:val="000000"/>
              </w:rPr>
              <w:br/>
            </w:r>
            <w:r w:rsidRPr="00A41A6D">
              <w:rPr>
                <w:rFonts w:cs="Calibri"/>
                <w:color w:val="000000"/>
              </w:rPr>
              <w:t>o přestu</w:t>
            </w:r>
            <w:r w:rsidRPr="003163C2">
              <w:rPr>
                <w:rFonts w:cs="Calibri"/>
                <w:color w:val="000000"/>
              </w:rPr>
              <w:t>p atd., výzva k odstranění nedo</w:t>
            </w:r>
            <w:r w:rsidRPr="00A41A6D">
              <w:rPr>
                <w:rFonts w:cs="Calibri"/>
                <w:color w:val="000000"/>
              </w:rPr>
              <w:t>statků žádosti, informace o přiděl</w:t>
            </w:r>
            <w:r w:rsidRPr="003163C2">
              <w:rPr>
                <w:rFonts w:cs="Calibri"/>
                <w:color w:val="000000"/>
              </w:rPr>
              <w:t>ení registračního čísla, upozor</w:t>
            </w:r>
            <w:r w:rsidRPr="00A41A6D">
              <w:rPr>
                <w:rFonts w:cs="Calibri"/>
                <w:color w:val="000000"/>
              </w:rPr>
              <w:t xml:space="preserve">nění na ukončení shromažďování podkladů pro vydání rozhodnutí a možnost vyjádřit se </w:t>
            </w:r>
            <w:r w:rsidR="003163C2">
              <w:rPr>
                <w:rFonts w:cs="Calibri"/>
                <w:color w:val="000000"/>
              </w:rPr>
              <w:br/>
            </w:r>
            <w:r w:rsidRPr="00A41A6D">
              <w:rPr>
                <w:rFonts w:cs="Calibri"/>
                <w:color w:val="000000"/>
              </w:rPr>
              <w:t>k podkladů</w:t>
            </w:r>
            <w:r w:rsidRPr="003163C2">
              <w:rPr>
                <w:rFonts w:cs="Calibri"/>
                <w:color w:val="000000"/>
              </w:rPr>
              <w:t>m rozhodnutí, rozhodnutí, odvol</w:t>
            </w:r>
            <w:r w:rsidRPr="00A41A6D">
              <w:rPr>
                <w:rFonts w:cs="Calibri"/>
                <w:color w:val="000000"/>
              </w:rPr>
              <w:t xml:space="preserve">ání, kritéria přijímacího řízení, seznam přijatých pod přiděleným registračním číslem. </w:t>
            </w:r>
          </w:p>
        </w:tc>
      </w:tr>
    </w:tbl>
    <w:p w:rsidR="003163C2" w:rsidRDefault="003163C2" w:rsidP="00A41A6D">
      <w:pPr>
        <w:pStyle w:val="Default"/>
        <w:rPr>
          <w:rFonts w:asciiTheme="minorHAnsi" w:hAnsiTheme="minorHAnsi" w:cs="Arial"/>
          <w:bCs/>
          <w:sz w:val="22"/>
          <w:szCs w:val="22"/>
          <w:u w:val="single"/>
        </w:rPr>
      </w:pPr>
    </w:p>
    <w:p w:rsidR="00A41A6D" w:rsidRPr="003163C2" w:rsidRDefault="00A41A6D" w:rsidP="00A41A6D">
      <w:pPr>
        <w:pStyle w:val="Default"/>
        <w:rPr>
          <w:rFonts w:asciiTheme="minorHAnsi" w:hAnsiTheme="minorHAnsi" w:cs="Arial"/>
          <w:sz w:val="22"/>
          <w:szCs w:val="22"/>
          <w:u w:val="single"/>
        </w:rPr>
      </w:pPr>
      <w:r w:rsidRPr="003163C2">
        <w:rPr>
          <w:rFonts w:asciiTheme="minorHAnsi" w:hAnsiTheme="minorHAnsi" w:cs="Arial"/>
          <w:bCs/>
          <w:sz w:val="22"/>
          <w:szCs w:val="22"/>
          <w:u w:val="single"/>
        </w:rPr>
        <w:t xml:space="preserve">Soupis všech součástí spisu </w:t>
      </w:r>
      <w:r w:rsidR="003163C2" w:rsidRPr="003163C2">
        <w:rPr>
          <w:rFonts w:asciiTheme="minorHAnsi" w:hAnsiTheme="minorHAnsi" w:cs="Arial"/>
          <w:bCs/>
          <w:sz w:val="22"/>
          <w:szCs w:val="22"/>
          <w:u w:val="single"/>
        </w:rPr>
        <w:br/>
      </w:r>
    </w:p>
    <w:p w:rsidR="00A41A6D" w:rsidRPr="003163C2" w:rsidRDefault="00A41A6D" w:rsidP="00A41A6D">
      <w:pPr>
        <w:pStyle w:val="Default"/>
        <w:jc w:val="both"/>
        <w:rPr>
          <w:rFonts w:asciiTheme="minorHAnsi" w:hAnsiTheme="minorHAnsi" w:cs="Arial"/>
          <w:sz w:val="22"/>
          <w:szCs w:val="22"/>
        </w:rPr>
      </w:pPr>
      <w:r w:rsidRPr="003163C2">
        <w:rPr>
          <w:rFonts w:asciiTheme="minorHAnsi" w:hAnsiTheme="minorHAnsi" w:cs="Arial"/>
          <w:sz w:val="22"/>
          <w:szCs w:val="22"/>
        </w:rPr>
        <w:t xml:space="preserve">Dle § 17 odst. 1 správního řádu spis musí obsahovat soupis všech svých </w:t>
      </w:r>
      <w:r w:rsidRPr="003163C2">
        <w:rPr>
          <w:rFonts w:asciiTheme="minorHAnsi" w:hAnsiTheme="minorHAnsi" w:cs="Arial"/>
          <w:sz w:val="22"/>
          <w:szCs w:val="22"/>
        </w:rPr>
        <w:t xml:space="preserve">součástí, včetně příloh, </w:t>
      </w:r>
      <w:r w:rsidR="003163C2">
        <w:rPr>
          <w:rFonts w:asciiTheme="minorHAnsi" w:hAnsiTheme="minorHAnsi" w:cs="Arial"/>
          <w:sz w:val="22"/>
          <w:szCs w:val="22"/>
        </w:rPr>
        <w:br/>
      </w:r>
      <w:r w:rsidRPr="003163C2">
        <w:rPr>
          <w:rFonts w:asciiTheme="minorHAnsi" w:hAnsiTheme="minorHAnsi" w:cs="Arial"/>
          <w:sz w:val="22"/>
          <w:szCs w:val="22"/>
        </w:rPr>
        <w:t>s urče</w:t>
      </w:r>
      <w:r w:rsidRPr="003163C2">
        <w:rPr>
          <w:rFonts w:asciiTheme="minorHAnsi" w:hAnsiTheme="minorHAnsi" w:cs="Arial"/>
          <w:sz w:val="22"/>
          <w:szCs w:val="22"/>
        </w:rPr>
        <w:t xml:space="preserve">ním data, kdy byly do spisu vloženy. </w:t>
      </w:r>
    </w:p>
    <w:p w:rsidR="00A41A6D" w:rsidRPr="003163C2" w:rsidRDefault="00A41A6D" w:rsidP="00A41A6D">
      <w:pPr>
        <w:jc w:val="both"/>
        <w:rPr>
          <w:rFonts w:cs="Arial"/>
        </w:rPr>
      </w:pPr>
      <w:r w:rsidRPr="003163C2">
        <w:rPr>
          <w:rFonts w:cs="Arial"/>
        </w:rPr>
        <w:t>Správní orgán tuto povinnost plní v závislosti na tom, jak vytváří spis. Dle</w:t>
      </w:r>
      <w:r w:rsidRPr="003163C2">
        <w:rPr>
          <w:rFonts w:cs="Arial"/>
        </w:rPr>
        <w:t xml:space="preserve"> </w:t>
      </w:r>
      <w:r w:rsidRPr="003163C2">
        <w:rPr>
          <w:rFonts w:cs="Arial"/>
        </w:rPr>
        <w:t xml:space="preserve">§ 12 vyhlášky </w:t>
      </w:r>
      <w:r w:rsidRPr="003163C2">
        <w:rPr>
          <w:rFonts w:cs="Arial"/>
        </w:rPr>
        <w:br/>
      </w:r>
      <w:r w:rsidRPr="003163C2">
        <w:rPr>
          <w:rFonts w:cs="Arial"/>
        </w:rPr>
        <w:t>č. 259/2012 Sb., o podrobnostech výkonu spisové služby, v platném znění, lze vy</w:t>
      </w:r>
      <w:r w:rsidRPr="003163C2">
        <w:rPr>
          <w:rFonts w:cs="Arial"/>
        </w:rPr>
        <w:t>tvářet spis pomocí spojování do</w:t>
      </w:r>
      <w:r w:rsidRPr="003163C2">
        <w:rPr>
          <w:rFonts w:cs="Arial"/>
        </w:rPr>
        <w:t xml:space="preserve">kumentů (§ 12 odst. 2), nebo pomocí sběrného archu (§ 12 odst. 3). Způsob, jakým škola nebo školské zařízení tvoří spis, je uveden ve spisovém řádu školy nebo školského zařízení (viz § 12 odst. 9 vyhlášky č. 259/2012 Sb., </w:t>
      </w:r>
      <w:r w:rsidR="005222B5">
        <w:rPr>
          <w:rFonts w:cs="Arial"/>
        </w:rPr>
        <w:br/>
      </w:r>
      <w:r w:rsidRPr="003163C2">
        <w:rPr>
          <w:rFonts w:cs="Arial"/>
        </w:rPr>
        <w:t>v platném znění).</w:t>
      </w:r>
    </w:p>
    <w:p w:rsidR="00A41A6D" w:rsidRPr="003163C2" w:rsidRDefault="00A41A6D">
      <w:r w:rsidRPr="003163C2">
        <w:lastRenderedPageBreak/>
        <w:t>Na základě těchto ustanovení lze schematicky shrnout základní informace o vytvoření spisu spojováním dokumentů: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3"/>
        <w:gridCol w:w="4943"/>
      </w:tblGrid>
      <w:tr w:rsidR="00A41A6D" w:rsidRPr="00A41A6D" w:rsidTr="00A41A6D">
        <w:tblPrEx>
          <w:tblCellMar>
            <w:top w:w="0" w:type="dxa"/>
            <w:bottom w:w="0" w:type="dxa"/>
          </w:tblCellMar>
        </w:tblPrEx>
        <w:trPr>
          <w:trHeight w:val="266"/>
        </w:trPr>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3163C2">
              <w:rPr>
                <w:rFonts w:cs="Calibri"/>
                <w:b/>
                <w:bCs/>
                <w:color w:val="000000"/>
              </w:rPr>
              <w:t>Spojování dokumentů</w:t>
            </w:r>
          </w:p>
          <w:p w:rsidR="00A41A6D" w:rsidRPr="00A41A6D" w:rsidRDefault="00A41A6D" w:rsidP="00A41A6D">
            <w:pPr>
              <w:autoSpaceDE w:val="0"/>
              <w:autoSpaceDN w:val="0"/>
              <w:adjustRightInd w:val="0"/>
              <w:spacing w:after="0" w:line="240" w:lineRule="auto"/>
              <w:rPr>
                <w:rFonts w:cs="Calibri"/>
                <w:color w:val="000000"/>
              </w:rPr>
            </w:pPr>
            <w:r w:rsidRPr="003163C2">
              <w:rPr>
                <w:rFonts w:cs="Calibri"/>
                <w:b/>
                <w:bCs/>
                <w:color w:val="000000"/>
              </w:rPr>
              <w:t xml:space="preserve">dle </w:t>
            </w:r>
            <w:r w:rsidRPr="00A41A6D">
              <w:rPr>
                <w:rFonts w:cs="Calibri"/>
                <w:b/>
                <w:bCs/>
                <w:color w:val="000000"/>
              </w:rPr>
              <w:t xml:space="preserve">§ 12 vyhlášky č. 259/2012 Sb. </w:t>
            </w:r>
          </w:p>
        </w:tc>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Poznámky </w:t>
            </w:r>
          </w:p>
        </w:tc>
      </w:tr>
      <w:tr w:rsidR="00A41A6D" w:rsidRPr="00A41A6D" w:rsidTr="00A41A6D">
        <w:tblPrEx>
          <w:tblCellMar>
            <w:top w:w="0" w:type="dxa"/>
            <w:bottom w:w="0" w:type="dxa"/>
          </w:tblCellMar>
        </w:tblPrEx>
        <w:trPr>
          <w:trHeight w:val="412"/>
        </w:trPr>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Evidence v základní evidenční pomůcce </w:t>
            </w:r>
          </w:p>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(typicky v podacím deníku) </w:t>
            </w:r>
          </w:p>
        </w:tc>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 xml:space="preserve">Každý nový dokument se zaeviduje v podacím deníku. </w:t>
            </w:r>
          </w:p>
        </w:tc>
      </w:tr>
      <w:tr w:rsidR="00A41A6D" w:rsidRPr="00A41A6D" w:rsidTr="00A41A6D">
        <w:tblPrEx>
          <w:tblCellMar>
            <w:top w:w="0" w:type="dxa"/>
            <w:bottom w:w="0" w:type="dxa"/>
          </w:tblCellMar>
        </w:tblPrEx>
        <w:trPr>
          <w:trHeight w:val="120"/>
        </w:trPr>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Přidělení čísla jednacího </w:t>
            </w:r>
          </w:p>
        </w:tc>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 xml:space="preserve">Každému novému dokumentu se přidělí číslo jednací. </w:t>
            </w:r>
          </w:p>
        </w:tc>
      </w:tr>
      <w:tr w:rsidR="00A41A6D" w:rsidRPr="00A41A6D" w:rsidTr="00A41A6D">
        <w:tblPrEx>
          <w:tblCellMar>
            <w:top w:w="0" w:type="dxa"/>
            <w:bottom w:w="0" w:type="dxa"/>
          </w:tblCellMar>
        </w:tblPrEx>
        <w:trPr>
          <w:trHeight w:val="412"/>
        </w:trPr>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3163C2">
              <w:rPr>
                <w:rFonts w:cs="Calibri"/>
                <w:b/>
                <w:bCs/>
                <w:color w:val="000000"/>
              </w:rPr>
              <w:t>Další zápisy v základní evi</w:t>
            </w:r>
            <w:r w:rsidRPr="00A41A6D">
              <w:rPr>
                <w:rFonts w:cs="Calibri"/>
                <w:b/>
                <w:bCs/>
                <w:color w:val="000000"/>
              </w:rPr>
              <w:t xml:space="preserve">denční pomůcce (typicky v podacím deníku) </w:t>
            </w:r>
          </w:p>
        </w:tc>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U předcházejícího i nového doku</w:t>
            </w:r>
            <w:r w:rsidRPr="003163C2">
              <w:rPr>
                <w:rFonts w:cs="Calibri"/>
                <w:color w:val="000000"/>
              </w:rPr>
              <w:t xml:space="preserve">mentu se </w:t>
            </w:r>
            <w:r w:rsidR="003163C2" w:rsidRPr="003163C2">
              <w:rPr>
                <w:rFonts w:cs="Calibri"/>
                <w:color w:val="000000"/>
              </w:rPr>
              <w:br/>
            </w:r>
            <w:r w:rsidRPr="003163C2">
              <w:rPr>
                <w:rFonts w:cs="Calibri"/>
                <w:color w:val="000000"/>
              </w:rPr>
              <w:t>v podacím deníku pozna</w:t>
            </w:r>
            <w:r w:rsidRPr="00A41A6D">
              <w:rPr>
                <w:rFonts w:cs="Calibri"/>
                <w:color w:val="000000"/>
              </w:rPr>
              <w:t xml:space="preserve">menají vzájemné odkazy. </w:t>
            </w:r>
          </w:p>
        </w:tc>
      </w:tr>
      <w:tr w:rsidR="00A41A6D" w:rsidRPr="00A41A6D" w:rsidTr="00A41A6D">
        <w:tblPrEx>
          <w:tblCellMar>
            <w:top w:w="0" w:type="dxa"/>
            <w:bottom w:w="0" w:type="dxa"/>
          </w:tblCellMar>
        </w:tblPrEx>
        <w:trPr>
          <w:trHeight w:val="561"/>
        </w:trPr>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b/>
                <w:bCs/>
                <w:color w:val="000000"/>
              </w:rPr>
              <w:t xml:space="preserve">Souhrn vložených dokumentů </w:t>
            </w:r>
          </w:p>
        </w:tc>
        <w:tc>
          <w:tcPr>
            <w:tcW w:w="4943" w:type="dxa"/>
          </w:tcPr>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 xml:space="preserve">Součástí spisu je soupis vložených dokumentů </w:t>
            </w:r>
            <w:r w:rsidR="003163C2" w:rsidRPr="003163C2">
              <w:rPr>
                <w:rFonts w:cs="Calibri"/>
                <w:color w:val="000000"/>
              </w:rPr>
              <w:br/>
            </w:r>
            <w:r w:rsidRPr="00A41A6D">
              <w:rPr>
                <w:rFonts w:cs="Calibri"/>
                <w:color w:val="000000"/>
              </w:rPr>
              <w:t>s je</w:t>
            </w:r>
            <w:r w:rsidRPr="003163C2">
              <w:rPr>
                <w:rFonts w:cs="Calibri"/>
                <w:color w:val="000000"/>
              </w:rPr>
              <w:t>jich čísly jedna</w:t>
            </w:r>
            <w:r w:rsidRPr="00A41A6D">
              <w:rPr>
                <w:rFonts w:cs="Calibri"/>
                <w:color w:val="000000"/>
              </w:rPr>
              <w:t xml:space="preserve">cími. </w:t>
            </w:r>
          </w:p>
          <w:p w:rsidR="00A41A6D" w:rsidRPr="00A41A6D" w:rsidRDefault="00A41A6D" w:rsidP="00A41A6D">
            <w:pPr>
              <w:autoSpaceDE w:val="0"/>
              <w:autoSpaceDN w:val="0"/>
              <w:adjustRightInd w:val="0"/>
              <w:spacing w:after="0" w:line="240" w:lineRule="auto"/>
              <w:rPr>
                <w:rFonts w:cs="Calibri"/>
                <w:color w:val="000000"/>
              </w:rPr>
            </w:pPr>
            <w:r w:rsidRPr="00A41A6D">
              <w:rPr>
                <w:rFonts w:cs="Calibri"/>
                <w:color w:val="000000"/>
              </w:rPr>
              <w:t xml:space="preserve">Dále z § 17 odst. 1 správního řádu plyne, že soupis všech součástí (včetně příloh) obsahuje určení data, kdy byly do spisu vloženy. </w:t>
            </w:r>
          </w:p>
          <w:p w:rsidR="00A41A6D" w:rsidRPr="00A41A6D" w:rsidRDefault="00A41A6D" w:rsidP="00A41A6D">
            <w:pPr>
              <w:autoSpaceDE w:val="0"/>
              <w:autoSpaceDN w:val="0"/>
              <w:adjustRightInd w:val="0"/>
              <w:spacing w:after="0" w:line="240" w:lineRule="auto"/>
              <w:rPr>
                <w:rFonts w:cs="Calibri"/>
                <w:color w:val="000000"/>
              </w:rPr>
            </w:pPr>
          </w:p>
        </w:tc>
      </w:tr>
    </w:tbl>
    <w:p w:rsidR="003163C2" w:rsidRDefault="005222B5" w:rsidP="003163C2">
      <w:pPr>
        <w:pStyle w:val="Default"/>
        <w:jc w:val="both"/>
        <w:rPr>
          <w:rFonts w:asciiTheme="minorHAnsi" w:hAnsiTheme="minorHAnsi" w:cs="Arial"/>
          <w:bCs/>
          <w:sz w:val="22"/>
          <w:szCs w:val="22"/>
          <w:u w:val="single"/>
        </w:rPr>
      </w:pPr>
      <w:r>
        <w:rPr>
          <w:rFonts w:asciiTheme="minorHAnsi" w:hAnsiTheme="minorHAnsi" w:cs="Arial"/>
          <w:bCs/>
          <w:sz w:val="22"/>
          <w:szCs w:val="22"/>
          <w:u w:val="single"/>
        </w:rPr>
        <w:br/>
      </w:r>
      <w:r w:rsidR="003163C2" w:rsidRPr="003163C2">
        <w:rPr>
          <w:rFonts w:asciiTheme="minorHAnsi" w:hAnsiTheme="minorHAnsi" w:cs="Arial"/>
          <w:bCs/>
          <w:sz w:val="22"/>
          <w:szCs w:val="22"/>
          <w:u w:val="single"/>
        </w:rPr>
        <w:t xml:space="preserve">Obálka spisu </w:t>
      </w:r>
    </w:p>
    <w:p w:rsidR="003163C2" w:rsidRPr="003163C2" w:rsidRDefault="003163C2" w:rsidP="003163C2">
      <w:pPr>
        <w:pStyle w:val="Default"/>
        <w:jc w:val="both"/>
        <w:rPr>
          <w:rFonts w:asciiTheme="minorHAnsi" w:hAnsiTheme="minorHAnsi" w:cs="Arial"/>
          <w:sz w:val="22"/>
          <w:szCs w:val="22"/>
          <w:u w:val="single"/>
        </w:rPr>
      </w:pPr>
    </w:p>
    <w:p w:rsidR="003163C2" w:rsidRPr="003163C2" w:rsidRDefault="003163C2" w:rsidP="003163C2">
      <w:pPr>
        <w:jc w:val="both"/>
        <w:rPr>
          <w:rFonts w:cs="Arial"/>
        </w:rPr>
      </w:pPr>
      <w:r w:rsidRPr="003163C2">
        <w:rPr>
          <w:rFonts w:cs="Arial"/>
        </w:rPr>
        <w:t>Na základě § 12 odst. 5 vyhlášky č. 259/2012 Sb., v platném znění, platí: pokud škola nebo školské zařízení vede spisovou službu v listinné podobě, pak v obálce spisu uvedou stanovené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4"/>
        <w:gridCol w:w="4974"/>
      </w:tblGrid>
      <w:tr w:rsidR="003163C2" w:rsidRPr="003163C2" w:rsidTr="003163C2">
        <w:tblPrEx>
          <w:tblCellMar>
            <w:top w:w="0" w:type="dxa"/>
            <w:bottom w:w="0" w:type="dxa"/>
          </w:tblCellMar>
        </w:tblPrEx>
        <w:trPr>
          <w:trHeight w:val="120"/>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Právní předpis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Poznámka </w:t>
            </w:r>
          </w:p>
        </w:tc>
      </w:tr>
      <w:tr w:rsidR="003163C2" w:rsidRPr="003163C2" w:rsidTr="003163C2">
        <w:tblPrEx>
          <w:tblCellMar>
            <w:top w:w="0" w:type="dxa"/>
            <w:bottom w:w="0" w:type="dxa"/>
          </w:tblCellMar>
        </w:tblPrEx>
        <w:trPr>
          <w:trHeight w:val="559"/>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stručný obsah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Např. správní řízení o přijetí Adély Nové, nar. 2. 4. 2009, trvalý pobyt Úzká 4, 671 45 Kostelec k základnímu vzdělávání v zák</w:t>
            </w:r>
            <w:r>
              <w:rPr>
                <w:rFonts w:ascii="Calibri" w:hAnsi="Calibri" w:cs="Calibri"/>
                <w:color w:val="000000"/>
                <w:sz w:val="23"/>
                <w:szCs w:val="23"/>
              </w:rPr>
              <w:t>ladní škole, jejíž činnost vyko</w:t>
            </w:r>
            <w:r w:rsidRPr="003163C2">
              <w:rPr>
                <w:rFonts w:ascii="Calibri" w:hAnsi="Calibri" w:cs="Calibri"/>
                <w:color w:val="000000"/>
                <w:sz w:val="23"/>
                <w:szCs w:val="23"/>
              </w:rPr>
              <w:t xml:space="preserve">nává Základní škola a mateřská škola, Kostelec, příspěvková organizace, od 1. 9. 2016 </w:t>
            </w:r>
          </w:p>
        </w:tc>
      </w:tr>
      <w:tr w:rsidR="003163C2" w:rsidRPr="003163C2" w:rsidTr="003163C2">
        <w:tblPrEx>
          <w:tblCellMar>
            <w:top w:w="0" w:type="dxa"/>
            <w:bottom w:w="0" w:type="dxa"/>
          </w:tblCellMar>
        </w:tblPrEx>
        <w:trPr>
          <w:trHeight w:val="705"/>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spisová značka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Dle § 17 odst. 1 správního řádu musí být k</w:t>
            </w:r>
            <w:r w:rsidR="00AB1ADB">
              <w:rPr>
                <w:rFonts w:ascii="Calibri" w:hAnsi="Calibri" w:cs="Calibri"/>
                <w:color w:val="000000"/>
                <w:sz w:val="23"/>
                <w:szCs w:val="23"/>
              </w:rPr>
              <w:t>aždý spis označen spisovou znač</w:t>
            </w:r>
            <w:r w:rsidRPr="003163C2">
              <w:rPr>
                <w:rFonts w:ascii="Calibri" w:hAnsi="Calibri" w:cs="Calibri"/>
                <w:color w:val="000000"/>
                <w:sz w:val="23"/>
                <w:szCs w:val="23"/>
              </w:rPr>
              <w:t xml:space="preserve">kou. To znamená, že každý spis má svou neopakovatelnou spisovou značku. </w:t>
            </w:r>
          </w:p>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 xml:space="preserve">Dle § 12 odst. 6 vyhlášky č. 259/2012 Sb., </w:t>
            </w:r>
            <w:r w:rsidR="00AB1ADB">
              <w:rPr>
                <w:rFonts w:ascii="Calibri" w:hAnsi="Calibri" w:cs="Calibri"/>
                <w:color w:val="000000"/>
                <w:sz w:val="23"/>
                <w:szCs w:val="23"/>
              </w:rPr>
              <w:br/>
            </w:r>
            <w:r w:rsidRPr="003163C2">
              <w:rPr>
                <w:rFonts w:ascii="Calibri" w:hAnsi="Calibri" w:cs="Calibri"/>
                <w:color w:val="000000"/>
                <w:sz w:val="23"/>
                <w:szCs w:val="23"/>
              </w:rPr>
              <w:t>v platném znění, v případě tvorby spisu spojováním dokumentů je spisovou z</w:t>
            </w:r>
            <w:r w:rsidR="00AB1ADB">
              <w:rPr>
                <w:rFonts w:ascii="Calibri" w:hAnsi="Calibri" w:cs="Calibri"/>
                <w:color w:val="000000"/>
                <w:sz w:val="23"/>
                <w:szCs w:val="23"/>
              </w:rPr>
              <w:t>načkou číslo jednací prvního ne</w:t>
            </w:r>
            <w:r w:rsidRPr="003163C2">
              <w:rPr>
                <w:rFonts w:ascii="Calibri" w:hAnsi="Calibri" w:cs="Calibri"/>
                <w:color w:val="000000"/>
                <w:sz w:val="23"/>
                <w:szCs w:val="23"/>
              </w:rPr>
              <w:t xml:space="preserve">bo posledního evidovaného dokumentu nebo jiné označení. </w:t>
            </w:r>
          </w:p>
        </w:tc>
      </w:tr>
      <w:tr w:rsidR="003163C2" w:rsidRPr="003163C2" w:rsidTr="003163C2">
        <w:tblPrEx>
          <w:tblCellMar>
            <w:top w:w="0" w:type="dxa"/>
            <w:bottom w:w="0" w:type="dxa"/>
          </w:tblCellMar>
        </w:tblPrEx>
        <w:trPr>
          <w:trHeight w:val="120"/>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datum založení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 xml:space="preserve">Spis se zakládá v den doručení prvního (iniciačního) dokumentu. </w:t>
            </w:r>
          </w:p>
        </w:tc>
      </w:tr>
      <w:tr w:rsidR="003163C2" w:rsidRPr="003163C2" w:rsidTr="003163C2">
        <w:tblPrEx>
          <w:tblCellMar>
            <w:top w:w="0" w:type="dxa"/>
            <w:bottom w:w="0" w:type="dxa"/>
          </w:tblCellMar>
        </w:tblPrEx>
        <w:trPr>
          <w:trHeight w:val="120"/>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datum uzavření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 xml:space="preserve">Spis je zpravidla uzavřen vyřízením posledního dokumentu. </w:t>
            </w:r>
          </w:p>
        </w:tc>
      </w:tr>
      <w:tr w:rsidR="003163C2" w:rsidRPr="003163C2" w:rsidTr="003163C2">
        <w:tblPrEx>
          <w:tblCellMar>
            <w:top w:w="0" w:type="dxa"/>
            <w:bottom w:w="0" w:type="dxa"/>
          </w:tblCellMar>
        </w:tblPrEx>
        <w:trPr>
          <w:trHeight w:val="412"/>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spisový znak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 xml:space="preserve">Spisový znak se stanoví podle spisového </w:t>
            </w:r>
            <w:r w:rsidR="00AB1ADB">
              <w:rPr>
                <w:rFonts w:ascii="Calibri" w:hAnsi="Calibri" w:cs="Calibri"/>
                <w:color w:val="000000"/>
                <w:sz w:val="23"/>
                <w:szCs w:val="23"/>
              </w:rPr>
              <w:br/>
            </w:r>
            <w:r w:rsidRPr="003163C2">
              <w:rPr>
                <w:rFonts w:ascii="Calibri" w:hAnsi="Calibri" w:cs="Calibri"/>
                <w:color w:val="000000"/>
                <w:sz w:val="23"/>
                <w:szCs w:val="23"/>
              </w:rPr>
              <w:t>a skartačního plánu školy nebo školského zařízení, v němž jsou uvedeny pří</w:t>
            </w:r>
            <w:r w:rsidR="00AB1ADB">
              <w:rPr>
                <w:rFonts w:ascii="Calibri" w:hAnsi="Calibri" w:cs="Calibri"/>
                <w:color w:val="000000"/>
                <w:sz w:val="23"/>
                <w:szCs w:val="23"/>
              </w:rPr>
              <w:t>slušné spisové znaky pro jednot</w:t>
            </w:r>
            <w:r w:rsidRPr="003163C2">
              <w:rPr>
                <w:rFonts w:ascii="Calibri" w:hAnsi="Calibri" w:cs="Calibri"/>
                <w:color w:val="000000"/>
                <w:sz w:val="23"/>
                <w:szCs w:val="23"/>
              </w:rPr>
              <w:t xml:space="preserve">livé druhy činností. </w:t>
            </w:r>
          </w:p>
        </w:tc>
      </w:tr>
      <w:tr w:rsidR="003163C2" w:rsidRPr="003163C2" w:rsidTr="003163C2">
        <w:tblPrEx>
          <w:tblCellMar>
            <w:top w:w="0" w:type="dxa"/>
            <w:bottom w:w="0" w:type="dxa"/>
          </w:tblCellMar>
        </w:tblPrEx>
        <w:trPr>
          <w:trHeight w:val="412"/>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skartační režim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Skartační znak se spisu přidělí podle skar</w:t>
            </w:r>
            <w:r w:rsidR="00AB1ADB">
              <w:rPr>
                <w:rFonts w:ascii="Calibri" w:hAnsi="Calibri" w:cs="Calibri"/>
                <w:color w:val="000000"/>
                <w:sz w:val="23"/>
                <w:szCs w:val="23"/>
              </w:rPr>
              <w:t>tačních znaků dokumentů, jež ob</w:t>
            </w:r>
            <w:r w:rsidRPr="003163C2">
              <w:rPr>
                <w:rFonts w:ascii="Calibri" w:hAnsi="Calibri" w:cs="Calibri"/>
                <w:color w:val="000000"/>
                <w:sz w:val="23"/>
                <w:szCs w:val="23"/>
              </w:rPr>
              <w:t xml:space="preserve">sahuje, a to v pořadí A - V - S. Skartační lhůta spisu musí být totožná </w:t>
            </w:r>
            <w:r w:rsidR="00AB1ADB">
              <w:rPr>
                <w:rFonts w:ascii="Calibri" w:hAnsi="Calibri" w:cs="Calibri"/>
                <w:color w:val="000000"/>
                <w:sz w:val="23"/>
                <w:szCs w:val="23"/>
              </w:rPr>
              <w:br/>
            </w:r>
            <w:r w:rsidRPr="003163C2">
              <w:rPr>
                <w:rFonts w:ascii="Calibri" w:hAnsi="Calibri" w:cs="Calibri"/>
                <w:color w:val="000000"/>
                <w:sz w:val="23"/>
                <w:szCs w:val="23"/>
              </w:rPr>
              <w:t xml:space="preserve">s nejdelší skartační lhůtou dokumentu zařazeného do spisu. </w:t>
            </w:r>
          </w:p>
        </w:tc>
      </w:tr>
      <w:tr w:rsidR="003163C2" w:rsidRPr="003163C2" w:rsidTr="003163C2">
        <w:tblPrEx>
          <w:tblCellMar>
            <w:top w:w="0" w:type="dxa"/>
            <w:bottom w:w="0" w:type="dxa"/>
          </w:tblCellMar>
        </w:tblPrEx>
        <w:trPr>
          <w:trHeight w:val="120"/>
        </w:trPr>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b/>
                <w:bCs/>
                <w:color w:val="000000"/>
                <w:sz w:val="23"/>
                <w:szCs w:val="23"/>
              </w:rPr>
              <w:t xml:space="preserve">údaje o uložení spisu </w:t>
            </w:r>
          </w:p>
        </w:tc>
        <w:tc>
          <w:tcPr>
            <w:tcW w:w="4974" w:type="dxa"/>
          </w:tcPr>
          <w:p w:rsidR="003163C2" w:rsidRPr="003163C2" w:rsidRDefault="003163C2" w:rsidP="003163C2">
            <w:pPr>
              <w:autoSpaceDE w:val="0"/>
              <w:autoSpaceDN w:val="0"/>
              <w:adjustRightInd w:val="0"/>
              <w:spacing w:after="0" w:line="240" w:lineRule="auto"/>
              <w:rPr>
                <w:rFonts w:ascii="Calibri" w:hAnsi="Calibri" w:cs="Calibri"/>
                <w:color w:val="000000"/>
                <w:sz w:val="23"/>
                <w:szCs w:val="23"/>
              </w:rPr>
            </w:pPr>
            <w:r w:rsidRPr="003163C2">
              <w:rPr>
                <w:rFonts w:ascii="Calibri" w:hAnsi="Calibri" w:cs="Calibri"/>
                <w:color w:val="000000"/>
                <w:sz w:val="23"/>
                <w:szCs w:val="23"/>
              </w:rPr>
              <w:t>Např. počet ulo</w:t>
            </w:r>
            <w:r w:rsidR="00AB1ADB">
              <w:rPr>
                <w:rFonts w:ascii="Calibri" w:hAnsi="Calibri" w:cs="Calibri"/>
                <w:color w:val="000000"/>
                <w:sz w:val="23"/>
                <w:szCs w:val="23"/>
              </w:rPr>
              <w:t>žených listů v listinné podobě -</w:t>
            </w:r>
            <w:r w:rsidRPr="003163C2">
              <w:rPr>
                <w:rFonts w:ascii="Calibri" w:hAnsi="Calibri" w:cs="Calibri"/>
                <w:color w:val="000000"/>
                <w:sz w:val="23"/>
                <w:szCs w:val="23"/>
              </w:rPr>
              <w:t xml:space="preserve"> 4 listy </w:t>
            </w:r>
          </w:p>
        </w:tc>
      </w:tr>
    </w:tbl>
    <w:p w:rsidR="003163C2" w:rsidRDefault="003163C2"/>
    <w:p w:rsidR="00AB1ADB" w:rsidRPr="00AB1ADB" w:rsidRDefault="00AB1ADB">
      <w:pPr>
        <w:rPr>
          <w:b/>
        </w:rPr>
      </w:pPr>
      <w:r>
        <w:rPr>
          <w:sz w:val="23"/>
          <w:szCs w:val="23"/>
        </w:rPr>
        <w:t xml:space="preserve">V dalším čísle Zpravodaje Kartotéky se budeme věnovat </w:t>
      </w:r>
      <w:r w:rsidRPr="00AB1ADB">
        <w:rPr>
          <w:b/>
          <w:sz w:val="23"/>
          <w:szCs w:val="23"/>
        </w:rPr>
        <w:t>vytvoření spisu sběrným archem.</w:t>
      </w:r>
    </w:p>
    <w:sectPr w:rsidR="00AB1ADB" w:rsidRPr="00AB1ADB" w:rsidSect="005222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6D"/>
    <w:rsid w:val="001F569F"/>
    <w:rsid w:val="003163C2"/>
    <w:rsid w:val="005222B5"/>
    <w:rsid w:val="00A41A6D"/>
    <w:rsid w:val="00AB1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41A6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41A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738</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Málková</dc:creator>
  <cp:lastModifiedBy>Miluše Málková</cp:lastModifiedBy>
  <cp:revision>3</cp:revision>
  <dcterms:created xsi:type="dcterms:W3CDTF">2016-01-25T09:06:00Z</dcterms:created>
  <dcterms:modified xsi:type="dcterms:W3CDTF">2016-01-25T09:19:00Z</dcterms:modified>
</cp:coreProperties>
</file>